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E3" w:rsidRDefault="00E36FE3" w:rsidP="00E36FE3">
      <w:pPr>
        <w:pStyle w:val="Title"/>
        <w:jc w:val="center"/>
      </w:pPr>
      <w:r>
        <w:t>C</w:t>
      </w:r>
      <w:r w:rsidR="005E3425">
        <w:t>ovid</w:t>
      </w:r>
      <w:r>
        <w:t xml:space="preserve">-19 </w:t>
      </w:r>
      <w:r w:rsidR="005E3425">
        <w:t xml:space="preserve">Supplementary </w:t>
      </w:r>
      <w:r>
        <w:t>Risk Assessment</w:t>
      </w:r>
    </w:p>
    <w:p w:rsidR="00E36FE3" w:rsidRDefault="007C684F" w:rsidP="00E36FE3">
      <w:pPr>
        <w:pStyle w:val="Subtitle"/>
        <w:jc w:val="center"/>
      </w:pPr>
      <w:r>
        <w:t>Whole-Class Ensemble Tuition (</w:t>
      </w:r>
      <w:r w:rsidR="00A7381A">
        <w:t>non</w:t>
      </w:r>
      <w:r>
        <w:t>-blown instruments)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E36FE3" w:rsidTr="00F84D9F">
        <w:tc>
          <w:tcPr>
            <w:tcW w:w="2254" w:type="dxa"/>
          </w:tcPr>
          <w:p w:rsidR="00E36FE3" w:rsidRDefault="00E36FE3">
            <w:r>
              <w:t>Owner:</w:t>
            </w:r>
          </w:p>
        </w:tc>
        <w:tc>
          <w:tcPr>
            <w:tcW w:w="6762" w:type="dxa"/>
            <w:gridSpan w:val="3"/>
          </w:tcPr>
          <w:p w:rsidR="00E36FE3" w:rsidRDefault="00F30AE7">
            <w:r>
              <w:t>Carl White</w:t>
            </w:r>
          </w:p>
        </w:tc>
      </w:tr>
      <w:tr w:rsidR="00E36FE3" w:rsidTr="00F84D9F">
        <w:tc>
          <w:tcPr>
            <w:tcW w:w="2254" w:type="dxa"/>
          </w:tcPr>
          <w:p w:rsidR="00E36FE3" w:rsidRDefault="00E36FE3">
            <w:r>
              <w:t>Consultees:</w:t>
            </w:r>
          </w:p>
        </w:tc>
        <w:tc>
          <w:tcPr>
            <w:tcW w:w="6762" w:type="dxa"/>
            <w:gridSpan w:val="3"/>
          </w:tcPr>
          <w:p w:rsidR="00E36FE3" w:rsidRDefault="00F30AE7">
            <w:r>
              <w:t>To</w:t>
            </w:r>
            <w:r w:rsidR="00A464E2">
              <w:t>n</w:t>
            </w:r>
            <w:r>
              <w:t xml:space="preserve">y Johnson, Felicity French, Judith Lawler, Richard </w:t>
            </w:r>
            <w:r w:rsidR="00E32D3C">
              <w:t>Field</w:t>
            </w:r>
          </w:p>
        </w:tc>
      </w:tr>
      <w:tr w:rsidR="00E36FE3" w:rsidTr="00F84D9F">
        <w:tc>
          <w:tcPr>
            <w:tcW w:w="2254" w:type="dxa"/>
          </w:tcPr>
          <w:p w:rsidR="00E36FE3" w:rsidRDefault="00E36FE3">
            <w:r>
              <w:t>Version:</w:t>
            </w:r>
          </w:p>
        </w:tc>
        <w:tc>
          <w:tcPr>
            <w:tcW w:w="6762" w:type="dxa"/>
            <w:gridSpan w:val="3"/>
          </w:tcPr>
          <w:p w:rsidR="00E36FE3" w:rsidRDefault="00E2758C" w:rsidP="004453F1">
            <w:pPr>
              <w:tabs>
                <w:tab w:val="left" w:pos="2232"/>
              </w:tabs>
            </w:pPr>
            <w:r>
              <w:t>5</w:t>
            </w:r>
            <w:r w:rsidR="004453F1">
              <w:tab/>
            </w:r>
          </w:p>
          <w:p w:rsidR="004453F1" w:rsidRDefault="004453F1" w:rsidP="004453F1">
            <w:pPr>
              <w:tabs>
                <w:tab w:val="left" w:pos="2232"/>
              </w:tabs>
            </w:pPr>
            <w:r>
              <w:rPr>
                <w:b/>
                <w:i/>
                <w:color w:val="FF0000"/>
              </w:rPr>
              <w:t xml:space="preserve">This document will be updated in line with </w:t>
            </w:r>
            <w:proofErr w:type="spellStart"/>
            <w:r>
              <w:rPr>
                <w:b/>
                <w:i/>
                <w:color w:val="FF0000"/>
              </w:rPr>
              <w:t>DfE</w:t>
            </w:r>
            <w:proofErr w:type="spellEnd"/>
            <w:r>
              <w:rPr>
                <w:b/>
                <w:i/>
                <w:color w:val="FF0000"/>
              </w:rPr>
              <w:t xml:space="preserve"> and Government guidance.  Please visit </w:t>
            </w:r>
            <w:hyperlink r:id="rId9" w:history="1">
              <w:r w:rsidRPr="007E7C71">
                <w:rPr>
                  <w:rStyle w:val="Hyperlink"/>
                  <w:b/>
                  <w:i/>
                </w:rPr>
                <w:t>www.bradfordmusiconline.co.uk</w:t>
              </w:r>
            </w:hyperlink>
            <w:r>
              <w:rPr>
                <w:b/>
                <w:i/>
                <w:color w:val="FF0000"/>
              </w:rPr>
              <w:t xml:space="preserve"> regularly to ensure that you have the most up to date risk assessment.</w:t>
            </w:r>
          </w:p>
        </w:tc>
      </w:tr>
      <w:tr w:rsidR="00E36FE3" w:rsidTr="00E36FE3">
        <w:tc>
          <w:tcPr>
            <w:tcW w:w="2254" w:type="dxa"/>
          </w:tcPr>
          <w:p w:rsidR="00E36FE3" w:rsidRDefault="00E36FE3" w:rsidP="00E36FE3">
            <w:r>
              <w:t>Date of assessment:</w:t>
            </w:r>
          </w:p>
        </w:tc>
        <w:tc>
          <w:tcPr>
            <w:tcW w:w="2254" w:type="dxa"/>
          </w:tcPr>
          <w:p w:rsidR="00E36FE3" w:rsidRDefault="00E2758C" w:rsidP="00E36FE3">
            <w:r>
              <w:t>08/10</w:t>
            </w:r>
            <w:r w:rsidR="00F30AE7">
              <w:t>/2020</w:t>
            </w:r>
          </w:p>
        </w:tc>
        <w:tc>
          <w:tcPr>
            <w:tcW w:w="2433" w:type="dxa"/>
          </w:tcPr>
          <w:p w:rsidR="00E36FE3" w:rsidRDefault="00E36FE3" w:rsidP="00E36FE3">
            <w:r>
              <w:t xml:space="preserve">Review date (max 1 </w:t>
            </w:r>
            <w:proofErr w:type="spellStart"/>
            <w:r>
              <w:t>yr</w:t>
            </w:r>
            <w:proofErr w:type="spellEnd"/>
            <w:r>
              <w:t>):</w:t>
            </w:r>
          </w:p>
        </w:tc>
        <w:tc>
          <w:tcPr>
            <w:tcW w:w="2075" w:type="dxa"/>
          </w:tcPr>
          <w:p w:rsidR="00E36FE3" w:rsidRDefault="00E2758C" w:rsidP="00E36FE3">
            <w:r>
              <w:t>31/7/2020</w:t>
            </w:r>
          </w:p>
        </w:tc>
      </w:tr>
    </w:tbl>
    <w:p w:rsidR="00E36FE3" w:rsidRDefault="00E36FE3" w:rsidP="00E36FE3">
      <w:pPr>
        <w:pStyle w:val="Heading1"/>
      </w:pPr>
      <w:r>
        <w:t>Description of activity</w:t>
      </w:r>
    </w:p>
    <w:p w:rsidR="00E36FE3" w:rsidRDefault="00E36FE3"/>
    <w:p w:rsidR="00E36FE3" w:rsidRDefault="00F26BA8">
      <w:proofErr w:type="gramStart"/>
      <w:r>
        <w:rPr>
          <w:highlight w:val="yellow"/>
        </w:rPr>
        <w:t xml:space="preserve">Whole </w:t>
      </w:r>
      <w:r w:rsidR="007C684F" w:rsidRPr="00F26BA8">
        <w:rPr>
          <w:highlight w:val="yellow"/>
        </w:rPr>
        <w:t>class</w:t>
      </w:r>
      <w:r>
        <w:rPr>
          <w:highlight w:val="yellow"/>
        </w:rPr>
        <w:t xml:space="preserve"> and small group Piano and</w:t>
      </w:r>
      <w:r w:rsidR="007C684F" w:rsidRPr="00F26BA8">
        <w:rPr>
          <w:highlight w:val="yellow"/>
        </w:rPr>
        <w:t xml:space="preserve"> </w:t>
      </w:r>
      <w:r w:rsidR="00E56382" w:rsidRPr="00F26BA8">
        <w:rPr>
          <w:highlight w:val="yellow"/>
        </w:rPr>
        <w:t>Keyboard</w:t>
      </w:r>
      <w:r w:rsidR="009E1AC7">
        <w:rPr>
          <w:highlight w:val="yellow"/>
        </w:rPr>
        <w:t xml:space="preserve"> tuition</w:t>
      </w:r>
      <w:r w:rsidR="00E36FE3" w:rsidRPr="00F26BA8">
        <w:rPr>
          <w:highlight w:val="yellow"/>
        </w:rPr>
        <w:t>.</w:t>
      </w:r>
      <w:proofErr w:type="gramEnd"/>
      <w:r w:rsidR="00E36FE3">
        <w:t xml:space="preserve">  If specific to a group, school or situation, provide details such as where it takes place (site, space, room) numbers involved, equipment and who leads the activity.</w:t>
      </w:r>
      <w:r w:rsidR="000F0D03">
        <w:t xml:space="preserve">  </w:t>
      </w:r>
      <w:r w:rsidR="000F0D03">
        <w:rPr>
          <w:color w:val="FF0000"/>
        </w:rPr>
        <w:t>Refer to WCET Singing risk assessment if using vocal work.</w:t>
      </w:r>
    </w:p>
    <w:p w:rsidR="00F84D9F" w:rsidRDefault="00F84D9F" w:rsidP="00F84D9F">
      <w:pPr>
        <w:pStyle w:val="Heading1"/>
      </w:pPr>
      <w:r>
        <w:t>References to related risk assessments</w:t>
      </w:r>
    </w:p>
    <w:p w:rsidR="00F84D9F" w:rsidRDefault="00F84D9F">
      <w:r>
        <w:t>If there is a pre-existing risk assessment for this activity, refer to it here.</w:t>
      </w:r>
      <w:r w:rsidR="00986D27">
        <w:t xml:space="preserve">  You may also want to link to your risk assessment for collecting in and reallocating instruments.</w:t>
      </w:r>
    </w:p>
    <w:p w:rsidR="00E36FE3" w:rsidRDefault="00E36FE3" w:rsidP="00E36FE3">
      <w:pPr>
        <w:pStyle w:val="Heading1"/>
      </w:pPr>
      <w:r>
        <w:t>Existing control measures</w:t>
      </w:r>
    </w:p>
    <w:p w:rsidR="00E36FE3" w:rsidRDefault="00F84D9F">
      <w:r>
        <w:t>These are the things you already do</w:t>
      </w:r>
      <w:r w:rsidR="00B11178">
        <w:t>,</w:t>
      </w:r>
      <w:r>
        <w:t xml:space="preserve"> or are inherent in the activity</w:t>
      </w:r>
      <w:r w:rsidR="00B11178">
        <w:t>,</w:t>
      </w:r>
      <w:r>
        <w:t xml:space="preserve"> that reduce the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302"/>
        <w:gridCol w:w="1559"/>
        <w:gridCol w:w="3394"/>
        <w:gridCol w:w="1505"/>
      </w:tblGrid>
      <w:tr w:rsidR="00307118" w:rsidRPr="00E36FE3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307118" w:rsidRPr="00E36FE3" w:rsidRDefault="00307118">
            <w:pPr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1559" w:type="dxa"/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3394" w:type="dxa"/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Control measure(s)</w:t>
            </w:r>
          </w:p>
        </w:tc>
        <w:tc>
          <w:tcPr>
            <w:tcW w:w="1505" w:type="dxa"/>
          </w:tcPr>
          <w:p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A464E2" w:rsidRPr="00E36FE3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A464E2" w:rsidRPr="00C82D13" w:rsidRDefault="00A464E2" w:rsidP="005A3FC9">
            <w:r w:rsidRPr="00C82D13">
              <w:t>1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A464E2" w:rsidRPr="00C82D13" w:rsidRDefault="00A464E2" w:rsidP="00304342">
            <w:pPr>
              <w:jc w:val="left"/>
            </w:pPr>
            <w:r w:rsidRPr="00C82D13">
              <w:t xml:space="preserve">Understanding school adaptations and Risk Assessment to </w:t>
            </w:r>
            <w:r w:rsidR="00304342">
              <w:t>COVID-19</w:t>
            </w:r>
          </w:p>
        </w:tc>
        <w:tc>
          <w:tcPr>
            <w:tcW w:w="1559" w:type="dxa"/>
          </w:tcPr>
          <w:p w:rsidR="00A464E2" w:rsidRPr="00C82D13" w:rsidRDefault="00A464E2" w:rsidP="005A3FC9">
            <w:pPr>
              <w:jc w:val="left"/>
            </w:pPr>
            <w:r w:rsidRPr="00C82D13">
              <w:t>MAS Staff</w:t>
            </w:r>
          </w:p>
        </w:tc>
        <w:tc>
          <w:tcPr>
            <w:tcW w:w="3394" w:type="dxa"/>
          </w:tcPr>
          <w:p w:rsidR="00A464E2" w:rsidRPr="00C82D13" w:rsidRDefault="00A464E2" w:rsidP="005A3FC9">
            <w:pPr>
              <w:jc w:val="left"/>
            </w:pPr>
            <w:r w:rsidRPr="00C82D13">
              <w:t>Initial meeting with MAS staff member and school SLT member to run through the school risk assessment and practicalities.</w:t>
            </w:r>
            <w:r>
              <w:t xml:space="preserve">  </w:t>
            </w:r>
            <w:r w:rsidRPr="00C82D13">
              <w:t>Identify any higher risk children and what PPE and additional risk assessments are associated.</w:t>
            </w:r>
          </w:p>
        </w:tc>
        <w:tc>
          <w:tcPr>
            <w:tcW w:w="1505" w:type="dxa"/>
          </w:tcPr>
          <w:p w:rsidR="00A464E2" w:rsidRPr="00C82D13" w:rsidRDefault="00A464E2" w:rsidP="005A3FC9">
            <w:pPr>
              <w:jc w:val="left"/>
            </w:pPr>
            <w:r w:rsidRPr="00C82D13">
              <w:t>MAS Staff</w:t>
            </w:r>
          </w:p>
        </w:tc>
      </w:tr>
      <w:tr w:rsidR="00307118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307118" w:rsidRDefault="00A464E2">
            <w:r>
              <w:t>2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307118" w:rsidRDefault="007C684F" w:rsidP="00B11178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:rsidR="00307118" w:rsidRDefault="007C684F" w:rsidP="00B11178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307118" w:rsidRDefault="00E2758C" w:rsidP="00B11178">
            <w:pPr>
              <w:jc w:val="left"/>
            </w:pPr>
            <w:r>
              <w:t xml:space="preserve">Staff must wear face shields. </w:t>
            </w:r>
            <w:r w:rsidR="00A7381A">
              <w:t>All participants respect social distancing of at least 2m</w:t>
            </w:r>
            <w:r w:rsidR="00986D27">
              <w:t>.</w:t>
            </w:r>
          </w:p>
        </w:tc>
        <w:tc>
          <w:tcPr>
            <w:tcW w:w="1505" w:type="dxa"/>
          </w:tcPr>
          <w:p w:rsidR="00307118" w:rsidRDefault="00F30AE7" w:rsidP="00B11178">
            <w:pPr>
              <w:jc w:val="left"/>
            </w:pPr>
            <w:r>
              <w:t>MAS Staff</w:t>
            </w:r>
          </w:p>
        </w:tc>
      </w:tr>
      <w:tr w:rsidR="007C684F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7C684F" w:rsidRDefault="00A464E2" w:rsidP="007C684F">
            <w:r>
              <w:t>3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7C684F" w:rsidRDefault="007C684F" w:rsidP="007C684F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:rsidR="007C684F" w:rsidRDefault="007C684F" w:rsidP="007C684F">
            <w:pPr>
              <w:jc w:val="left"/>
            </w:pPr>
            <w:r>
              <w:t>Adults</w:t>
            </w:r>
          </w:p>
        </w:tc>
        <w:tc>
          <w:tcPr>
            <w:tcW w:w="3394" w:type="dxa"/>
          </w:tcPr>
          <w:p w:rsidR="007C684F" w:rsidRDefault="007C684F" w:rsidP="00F30AE7">
            <w:pPr>
              <w:jc w:val="left"/>
            </w:pPr>
            <w:r>
              <w:t>Teacher(s) at least 2m f</w:t>
            </w:r>
            <w:r w:rsidR="00F30AE7">
              <w:t xml:space="preserve">rom nearest player at all times.  </w:t>
            </w:r>
            <w:r w:rsidR="00A464E2" w:rsidRPr="00C82D13">
              <w:t>Liaise with class teacher to ensure table set up allows for adequate spacing wherever possible.</w:t>
            </w:r>
            <w:r w:rsidR="00A464E2">
              <w:t xml:space="preserve">  Ensure that movement around the classroom is minimal and flag immediately with school where this is not possible.</w:t>
            </w:r>
            <w:r w:rsidR="004453F1">
              <w:t xml:space="preserve">  PPE should be worn if 2m cannot be achieved.</w:t>
            </w:r>
          </w:p>
        </w:tc>
        <w:tc>
          <w:tcPr>
            <w:tcW w:w="1505" w:type="dxa"/>
          </w:tcPr>
          <w:p w:rsidR="007C684F" w:rsidRDefault="00F30AE7" w:rsidP="007C684F">
            <w:pPr>
              <w:jc w:val="left"/>
            </w:pPr>
            <w:r>
              <w:t>MAS Staff</w:t>
            </w:r>
          </w:p>
        </w:tc>
      </w:tr>
      <w:tr w:rsidR="00C84C51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A464E2" w:rsidP="007C684F">
            <w:r>
              <w:t>4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Default="00C84C51" w:rsidP="007C684F">
            <w:pPr>
              <w:jc w:val="left"/>
            </w:pPr>
            <w:r>
              <w:t>Surface transmission via touch surfaces (handling and playing)</w:t>
            </w:r>
          </w:p>
        </w:tc>
        <w:tc>
          <w:tcPr>
            <w:tcW w:w="1559" w:type="dxa"/>
          </w:tcPr>
          <w:p w:rsidR="00C84C51" w:rsidRDefault="00C84C51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C84C51" w:rsidRDefault="00C84C51" w:rsidP="00A464E2">
            <w:pPr>
              <w:jc w:val="left"/>
            </w:pPr>
            <w:r>
              <w:t>Enhanced hand hygiene is routinely observed.</w:t>
            </w:r>
            <w:r w:rsidR="00A464E2">
              <w:t xml:space="preserve">  I</w:t>
            </w:r>
            <w:r>
              <w:t xml:space="preserve">nstruments that are not mouth-blown can be shared but additional cleaning is </w:t>
            </w:r>
            <w:r w:rsidR="00A464E2">
              <w:t>required</w:t>
            </w:r>
            <w:r>
              <w:t xml:space="preserve">.  </w:t>
            </w:r>
            <w:r>
              <w:lastRenderedPageBreak/>
              <w:t xml:space="preserve">See </w:t>
            </w:r>
            <w:hyperlink r:id="rId10" w:history="1">
              <w:r w:rsidRPr="007C684F">
                <w:rPr>
                  <w:rStyle w:val="Hyperlink"/>
                </w:rPr>
                <w:t>MM guide</w:t>
              </w:r>
            </w:hyperlink>
            <w:r>
              <w:t xml:space="preserve"> for further information.</w:t>
            </w:r>
          </w:p>
        </w:tc>
        <w:tc>
          <w:tcPr>
            <w:tcW w:w="1505" w:type="dxa"/>
          </w:tcPr>
          <w:p w:rsidR="00C84C51" w:rsidRDefault="00C84C51" w:rsidP="00AC4320">
            <w:pPr>
              <w:jc w:val="left"/>
            </w:pPr>
            <w:r>
              <w:lastRenderedPageBreak/>
              <w:t>MAS Staff</w:t>
            </w:r>
          </w:p>
        </w:tc>
      </w:tr>
      <w:tr w:rsidR="00C84C51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A464E2" w:rsidP="007C684F">
            <w:r>
              <w:lastRenderedPageBreak/>
              <w:t>5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Default="00C84C51" w:rsidP="007C684F">
            <w:pPr>
              <w:jc w:val="left"/>
            </w:pPr>
            <w:r>
              <w:t>Surface transmission</w:t>
            </w:r>
          </w:p>
        </w:tc>
        <w:tc>
          <w:tcPr>
            <w:tcW w:w="1559" w:type="dxa"/>
          </w:tcPr>
          <w:p w:rsidR="00C84C51" w:rsidRDefault="00C84C51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A464E2" w:rsidRDefault="00A464E2" w:rsidP="00A464E2">
            <w:pPr>
              <w:jc w:val="left"/>
            </w:pPr>
            <w:r>
              <w:t>Resources mainly taught by ear.</w:t>
            </w:r>
          </w:p>
          <w:p w:rsidR="00C84C51" w:rsidRDefault="00A464E2" w:rsidP="00A464E2">
            <w:pPr>
              <w:jc w:val="left"/>
            </w:pPr>
            <w:r>
              <w:t>If required, words are projected onto screen but not printed or distributed.</w:t>
            </w:r>
          </w:p>
        </w:tc>
        <w:tc>
          <w:tcPr>
            <w:tcW w:w="1505" w:type="dxa"/>
          </w:tcPr>
          <w:p w:rsidR="00C84C51" w:rsidRDefault="00C84C51" w:rsidP="00AC4320">
            <w:pPr>
              <w:jc w:val="left"/>
            </w:pPr>
            <w:r>
              <w:t>MAS Staff</w:t>
            </w:r>
          </w:p>
        </w:tc>
      </w:tr>
      <w:tr w:rsidR="00C84C51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A464E2" w:rsidP="007C684F">
            <w:r>
              <w:t>6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201621" w:rsidRDefault="00C84C51" w:rsidP="00891C42">
            <w:r w:rsidRPr="00201621">
              <w:t>Surface transmission via equipment used for playing backing tracks or accompanying</w:t>
            </w:r>
          </w:p>
        </w:tc>
        <w:tc>
          <w:tcPr>
            <w:tcW w:w="1559" w:type="dxa"/>
          </w:tcPr>
          <w:p w:rsidR="00C84C51" w:rsidRPr="00201621" w:rsidRDefault="00C84C51" w:rsidP="00891C42">
            <w:r w:rsidRPr="00201621">
              <w:t>Teacher</w:t>
            </w:r>
          </w:p>
        </w:tc>
        <w:tc>
          <w:tcPr>
            <w:tcW w:w="3394" w:type="dxa"/>
          </w:tcPr>
          <w:p w:rsidR="00C84C51" w:rsidRPr="00A464E2" w:rsidRDefault="00A464E2" w:rsidP="00891C42">
            <w:pPr>
              <w:rPr>
                <w:b/>
              </w:rPr>
            </w:pPr>
            <w:r>
              <w:t xml:space="preserve">Clean PC, IT equipment or CD player for backing track or piano/keyboard.  Refer to </w:t>
            </w:r>
            <w:hyperlink r:id="rId11" w:history="1">
              <w:r w:rsidRPr="000170C7">
                <w:rPr>
                  <w:rStyle w:val="Hyperlink"/>
                </w:rPr>
                <w:t>Music Mark’s guidance</w:t>
              </w:r>
            </w:hyperlink>
            <w:r>
              <w:t xml:space="preserve"> for advice on cleaning equipment.  </w:t>
            </w:r>
            <w:r w:rsidRPr="00C82D13">
              <w:t>Do not assume that this has been done for you prior to arrival</w:t>
            </w:r>
            <w:r>
              <w:t>.</w:t>
            </w:r>
          </w:p>
        </w:tc>
        <w:tc>
          <w:tcPr>
            <w:tcW w:w="1505" w:type="dxa"/>
          </w:tcPr>
          <w:p w:rsidR="00C84C51" w:rsidRPr="00201621" w:rsidRDefault="00A464E2" w:rsidP="00891C42">
            <w:r>
              <w:t>MAS Staff</w:t>
            </w:r>
          </w:p>
        </w:tc>
      </w:tr>
      <w:tr w:rsidR="00A464E2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A464E2" w:rsidRDefault="00A464E2" w:rsidP="005A3FC9">
            <w:r>
              <w:t>7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A464E2" w:rsidRPr="00BA7176" w:rsidRDefault="00A464E2" w:rsidP="005A3FC9">
            <w:r w:rsidRPr="00BA7176">
              <w:t>Airborne transmission</w:t>
            </w:r>
          </w:p>
        </w:tc>
        <w:tc>
          <w:tcPr>
            <w:tcW w:w="1559" w:type="dxa"/>
          </w:tcPr>
          <w:p w:rsidR="00A464E2" w:rsidRPr="00BA7176" w:rsidRDefault="00A464E2" w:rsidP="005A3FC9">
            <w:r w:rsidRPr="00BA7176">
              <w:t>Everyone</w:t>
            </w:r>
          </w:p>
        </w:tc>
        <w:tc>
          <w:tcPr>
            <w:tcW w:w="3394" w:type="dxa"/>
          </w:tcPr>
          <w:p w:rsidR="00A464E2" w:rsidRPr="00BA7176" w:rsidRDefault="00A464E2" w:rsidP="005A3FC9">
            <w:r>
              <w:t xml:space="preserve">Ventilation is </w:t>
            </w:r>
            <w:proofErr w:type="gramStart"/>
            <w:r>
              <w:t>key</w:t>
            </w:r>
            <w:proofErr w:type="gramEnd"/>
            <w:r>
              <w:t xml:space="preserve">.  Open windows before the start of the session or sing outdoors.  </w:t>
            </w:r>
            <w:r w:rsidRPr="00C82D13">
              <w:t>If windows are closed on entry, ensure that they are opened.</w:t>
            </w:r>
          </w:p>
        </w:tc>
        <w:tc>
          <w:tcPr>
            <w:tcW w:w="1505" w:type="dxa"/>
          </w:tcPr>
          <w:p w:rsidR="00A464E2" w:rsidRDefault="00A464E2" w:rsidP="005A3FC9">
            <w:r w:rsidRPr="00BA7176">
              <w:t>MAS staff</w:t>
            </w:r>
          </w:p>
        </w:tc>
      </w:tr>
      <w:tr w:rsidR="00F26BA8" w:rsidTr="00A464E2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5A3FC9">
            <w:r>
              <w:t>8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t>Surface transmission via behaviour management and practice diaries</w:t>
            </w:r>
          </w:p>
        </w:tc>
        <w:tc>
          <w:tcPr>
            <w:tcW w:w="1559" w:type="dxa"/>
          </w:tcPr>
          <w:p w:rsidR="00F26BA8" w:rsidRDefault="00F26BA8" w:rsidP="007724EC">
            <w:r>
              <w:t>MAS Staff</w:t>
            </w:r>
          </w:p>
        </w:tc>
        <w:tc>
          <w:tcPr>
            <w:tcW w:w="3394" w:type="dxa"/>
          </w:tcPr>
          <w:p w:rsidR="00F26BA8" w:rsidRDefault="00F26BA8" w:rsidP="007724EC">
            <w:r>
              <w:t>MAS Staff to use in school rewards and sanctions only. Do not issue stickers or certificates.  Practice diaries not to be used (use Google classroom or online alternative)</w:t>
            </w:r>
          </w:p>
        </w:tc>
        <w:tc>
          <w:tcPr>
            <w:tcW w:w="1505" w:type="dxa"/>
          </w:tcPr>
          <w:p w:rsidR="00F26BA8" w:rsidRDefault="00F26BA8" w:rsidP="007724EC">
            <w:r>
              <w:t>MAS Staff</w:t>
            </w:r>
          </w:p>
        </w:tc>
      </w:tr>
    </w:tbl>
    <w:p w:rsidR="00F84D9F" w:rsidRDefault="00665930" w:rsidP="00C33B03">
      <w:pPr>
        <w:pStyle w:val="Heading1"/>
      </w:pPr>
      <w:r>
        <w:t>Initial r</w:t>
      </w:r>
      <w:r w:rsidR="00F84D9F">
        <w:t>isk rating</w:t>
      </w:r>
    </w:p>
    <w:p w:rsidR="00F84D9F" w:rsidRDefault="00F84D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682"/>
        <w:gridCol w:w="982"/>
        <w:gridCol w:w="774"/>
        <w:gridCol w:w="336"/>
        <w:gridCol w:w="390"/>
        <w:gridCol w:w="390"/>
        <w:gridCol w:w="421"/>
        <w:gridCol w:w="421"/>
        <w:gridCol w:w="390"/>
      </w:tblGrid>
      <w:tr w:rsidR="00307118" w:rsidTr="00B11178">
        <w:tc>
          <w:tcPr>
            <w:tcW w:w="3230" w:type="dxa"/>
            <w:vMerge w:val="restart"/>
            <w:tcBorders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  <w:r>
              <w:t>How likely is the activity to result in actual harm (1-5)?</w:t>
            </w:r>
          </w:p>
        </w:tc>
        <w:tc>
          <w:tcPr>
            <w:tcW w:w="1682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307118" w:rsidRDefault="00307118" w:rsidP="00CF7D8A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  <w:p w:rsidR="00307118" w:rsidRPr="00307118" w:rsidRDefault="00307118" w:rsidP="00CF7D8A">
            <w:pPr>
              <w:keepNext/>
              <w:ind w:left="113" w:right="113"/>
            </w:pPr>
            <w:r w:rsidRPr="00307118">
              <w:t xml:space="preserve">less   </w:t>
            </w:r>
            <w:r>
              <w:t xml:space="preserve">      </w:t>
            </w:r>
            <w:r w:rsidRPr="00307118">
              <w:t xml:space="preserve">   more</w:t>
            </w: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5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4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307118" w:rsidRDefault="00307118" w:rsidP="00CF7D8A">
            <w:pPr>
              <w:keepNext/>
            </w:pPr>
          </w:p>
        </w:tc>
      </w:tr>
      <w:tr w:rsidR="00BB2896" w:rsidTr="00B11178">
        <w:tc>
          <w:tcPr>
            <w:tcW w:w="3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2694B" w:rsidRDefault="00F2694B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94B" w:rsidRDefault="00174692" w:rsidP="00CF7D8A">
            <w:pPr>
              <w:keepNext/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94B" w:rsidRDefault="00F2694B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F2694B" w:rsidRDefault="00F2694B" w:rsidP="00CF7D8A">
            <w:pPr>
              <w:keepNext/>
            </w:pPr>
          </w:p>
        </w:tc>
        <w:tc>
          <w:tcPr>
            <w:tcW w:w="336" w:type="dxa"/>
          </w:tcPr>
          <w:p w:rsidR="00F2694B" w:rsidRDefault="00F2694B" w:rsidP="00CF7D8A">
            <w:pPr>
              <w:keepNext/>
            </w:pPr>
            <w:r>
              <w:t>3</w:t>
            </w:r>
          </w:p>
        </w:tc>
        <w:tc>
          <w:tcPr>
            <w:tcW w:w="390" w:type="dxa"/>
            <w:shd w:val="clear" w:color="auto" w:fill="009900"/>
          </w:tcPr>
          <w:p w:rsidR="00F2694B" w:rsidRDefault="00F2694B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F2694B" w:rsidRDefault="00F2694B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F2694B" w:rsidRDefault="00F2694B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F2694B" w:rsidRDefault="00F2694B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F2694B" w:rsidRDefault="00F2694B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  <w:r>
              <w:t>How severe would the consequences be (1-5)?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2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307118" w:rsidRDefault="00307118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118" w:rsidRDefault="00307118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  <w:r>
              <w:t>1</w:t>
            </w: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307118" w:rsidRDefault="00307118" w:rsidP="00CF7D8A">
            <w:pPr>
              <w:keepNext/>
            </w:pPr>
          </w:p>
        </w:tc>
      </w:tr>
      <w:tr w:rsidR="00307118" w:rsidTr="00B11178">
        <w:tc>
          <w:tcPr>
            <w:tcW w:w="3230" w:type="dxa"/>
            <w:tcBorders>
              <w:top w:val="nil"/>
              <w:right w:val="nil"/>
            </w:tcBorders>
            <w:vAlign w:val="center"/>
          </w:tcPr>
          <w:p w:rsidR="00307118" w:rsidRDefault="00307118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7118" w:rsidRDefault="00174692" w:rsidP="00CF7D8A">
            <w:pPr>
              <w:keepNext/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</w:p>
        </w:tc>
        <w:tc>
          <w:tcPr>
            <w:tcW w:w="390" w:type="dxa"/>
          </w:tcPr>
          <w:p w:rsidR="00307118" w:rsidRDefault="00307118" w:rsidP="00CF7D8A">
            <w:pPr>
              <w:keepNext/>
            </w:pPr>
            <w:r>
              <w:t>1</w:t>
            </w:r>
          </w:p>
        </w:tc>
        <w:tc>
          <w:tcPr>
            <w:tcW w:w="390" w:type="dxa"/>
          </w:tcPr>
          <w:p w:rsidR="00307118" w:rsidRDefault="00307118" w:rsidP="00CF7D8A">
            <w:pPr>
              <w:keepNext/>
            </w:pPr>
            <w:r>
              <w:t>2</w:t>
            </w:r>
          </w:p>
        </w:tc>
        <w:tc>
          <w:tcPr>
            <w:tcW w:w="421" w:type="dxa"/>
          </w:tcPr>
          <w:p w:rsidR="00307118" w:rsidRDefault="00307118" w:rsidP="00CF7D8A">
            <w:pPr>
              <w:keepNext/>
            </w:pPr>
            <w:r>
              <w:t>3</w:t>
            </w:r>
          </w:p>
        </w:tc>
        <w:tc>
          <w:tcPr>
            <w:tcW w:w="421" w:type="dxa"/>
          </w:tcPr>
          <w:p w:rsidR="00307118" w:rsidRDefault="00307118" w:rsidP="00CF7D8A">
            <w:pPr>
              <w:keepNext/>
            </w:pPr>
            <w:r>
              <w:t>4</w:t>
            </w:r>
          </w:p>
        </w:tc>
        <w:tc>
          <w:tcPr>
            <w:tcW w:w="390" w:type="dxa"/>
          </w:tcPr>
          <w:p w:rsidR="00307118" w:rsidRDefault="00307118" w:rsidP="00CF7D8A">
            <w:pPr>
              <w:keepNext/>
            </w:pPr>
            <w:r>
              <w:t>5</w:t>
            </w:r>
          </w:p>
        </w:tc>
      </w:tr>
      <w:tr w:rsidR="00307118" w:rsidTr="00307118">
        <w:trPr>
          <w:trHeight w:val="319"/>
        </w:trPr>
        <w:tc>
          <w:tcPr>
            <w:tcW w:w="3230" w:type="dxa"/>
            <w:vAlign w:val="center"/>
          </w:tcPr>
          <w:p w:rsidR="00307118" w:rsidRPr="00307118" w:rsidRDefault="00307118" w:rsidP="00CF7D8A">
            <w:pPr>
              <w:keepNext/>
              <w:jc w:val="left"/>
              <w:rPr>
                <w:b/>
              </w:rPr>
            </w:pPr>
            <w:r w:rsidRPr="00307118">
              <w:rPr>
                <w:b/>
              </w:rPr>
              <w:t>Risk rating (likelihood x severity)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307118" w:rsidRPr="00B11178" w:rsidRDefault="00174692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307118" w:rsidRDefault="00307118" w:rsidP="00CF7D8A">
            <w:pPr>
              <w:keepNext/>
            </w:pPr>
          </w:p>
        </w:tc>
        <w:tc>
          <w:tcPr>
            <w:tcW w:w="336" w:type="dxa"/>
          </w:tcPr>
          <w:p w:rsidR="00307118" w:rsidRDefault="00307118" w:rsidP="00CF7D8A">
            <w:pPr>
              <w:keepNext/>
            </w:pPr>
          </w:p>
        </w:tc>
        <w:tc>
          <w:tcPr>
            <w:tcW w:w="2012" w:type="dxa"/>
            <w:gridSpan w:val="5"/>
            <w:vAlign w:val="center"/>
          </w:tcPr>
          <w:p w:rsidR="00307118" w:rsidRPr="00307118" w:rsidRDefault="00307118" w:rsidP="00CF7D8A">
            <w:pPr>
              <w:keepNext/>
              <w:jc w:val="center"/>
            </w:pPr>
            <w:r>
              <w:t>b</w:t>
            </w:r>
            <w:r w:rsidRPr="00307118">
              <w:t xml:space="preserve">etter            </w:t>
            </w:r>
            <w:r>
              <w:t>w</w:t>
            </w:r>
            <w:r w:rsidRPr="00307118">
              <w:t>orse</w:t>
            </w:r>
          </w:p>
          <w:p w:rsidR="00307118" w:rsidRPr="00F2694B" w:rsidRDefault="00307118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</w:tbl>
    <w:p w:rsidR="00307118" w:rsidRDefault="00307118" w:rsidP="00307118">
      <w:pPr>
        <w:pStyle w:val="Heading1"/>
      </w:pPr>
      <w:r>
        <w:t>Additional control measures</w:t>
      </w:r>
    </w:p>
    <w:p w:rsidR="00307118" w:rsidRDefault="00307118">
      <w:r>
        <w:t>These are new measures identify to reduce the risk rating.  It is usual</w:t>
      </w:r>
      <w:r w:rsidR="00665930">
        <w:t xml:space="preserve">ly easier (and it is perfectly acceptable) to </w:t>
      </w:r>
      <w:r>
        <w:t xml:space="preserve">reduce the </w:t>
      </w:r>
      <w:r w:rsidR="00C33B03">
        <w:t>likelihood of harm rather than the severity.</w:t>
      </w:r>
    </w:p>
    <w:p w:rsidR="00F03843" w:rsidRDefault="00F03843"/>
    <w:p w:rsidR="00F03843" w:rsidRDefault="00F03843">
      <w:r>
        <w:t>It is not necessary to implement additional control measures for every hazard identified.  Prioritise the hazards you have identified and ensure that control measures are reasonable and proportionate.</w:t>
      </w:r>
    </w:p>
    <w:p w:rsidR="00665930" w:rsidRDefault="00665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302"/>
        <w:gridCol w:w="1559"/>
        <w:gridCol w:w="3394"/>
        <w:gridCol w:w="1374"/>
      </w:tblGrid>
      <w:tr w:rsidR="00665930" w:rsidRPr="00E36FE3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665930" w:rsidRPr="00E36FE3" w:rsidRDefault="00665930" w:rsidP="00E40A10">
            <w:pPr>
              <w:jc w:val="left"/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1559" w:type="dxa"/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3394" w:type="dxa"/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Control measure(s)</w:t>
            </w:r>
          </w:p>
        </w:tc>
        <w:tc>
          <w:tcPr>
            <w:tcW w:w="1374" w:type="dxa"/>
          </w:tcPr>
          <w:p w:rsidR="00665930" w:rsidRPr="00E36FE3" w:rsidRDefault="00665930" w:rsidP="00E40A10">
            <w:pPr>
              <w:jc w:val="left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C84C51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C84C51" w:rsidP="00E40A10">
            <w:pPr>
              <w:jc w:val="left"/>
            </w:pPr>
            <w:r>
              <w:t>1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C95147" w:rsidRDefault="00C84C51" w:rsidP="007A1847">
            <w:r w:rsidRPr="00C95147">
              <w:t>Airborne transmission</w:t>
            </w:r>
          </w:p>
        </w:tc>
        <w:tc>
          <w:tcPr>
            <w:tcW w:w="1559" w:type="dxa"/>
          </w:tcPr>
          <w:p w:rsidR="00C84C51" w:rsidRPr="00C95147" w:rsidRDefault="00C84C51" w:rsidP="007A1847">
            <w:r w:rsidRPr="00C95147">
              <w:t>Teacher</w:t>
            </w:r>
          </w:p>
        </w:tc>
        <w:tc>
          <w:tcPr>
            <w:tcW w:w="3394" w:type="dxa"/>
          </w:tcPr>
          <w:p w:rsidR="00C84C51" w:rsidRPr="00C95147" w:rsidRDefault="00E2758C" w:rsidP="007A1847">
            <w:r>
              <w:t>Face shields must be worn.</w:t>
            </w:r>
          </w:p>
        </w:tc>
        <w:tc>
          <w:tcPr>
            <w:tcW w:w="1374" w:type="dxa"/>
          </w:tcPr>
          <w:p w:rsidR="00C84C51" w:rsidRPr="00C95147" w:rsidRDefault="00A00914" w:rsidP="007A1847">
            <w:r>
              <w:t>MAS</w:t>
            </w:r>
            <w:r w:rsidR="00C84C51" w:rsidRPr="00C95147">
              <w:t xml:space="preserve"> staff</w:t>
            </w:r>
          </w:p>
        </w:tc>
      </w:tr>
      <w:tr w:rsidR="00C84C51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C84C51" w:rsidP="00E40A10">
            <w:pPr>
              <w:jc w:val="left"/>
            </w:pPr>
            <w:r>
              <w:t>2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C95147" w:rsidRDefault="00C84C51" w:rsidP="007A1847">
            <w:r w:rsidRPr="00C95147">
              <w:t>Airborne transmission (vulnerable teacher)</w:t>
            </w:r>
          </w:p>
        </w:tc>
        <w:tc>
          <w:tcPr>
            <w:tcW w:w="1559" w:type="dxa"/>
          </w:tcPr>
          <w:p w:rsidR="00C84C51" w:rsidRPr="00C95147" w:rsidRDefault="00C84C51" w:rsidP="007A1847">
            <w:r w:rsidRPr="00C95147">
              <w:t>Teacher</w:t>
            </w:r>
          </w:p>
        </w:tc>
        <w:tc>
          <w:tcPr>
            <w:tcW w:w="3394" w:type="dxa"/>
          </w:tcPr>
          <w:p w:rsidR="00C84C51" w:rsidRPr="00C95147" w:rsidRDefault="00C84C51" w:rsidP="007A1847">
            <w:r w:rsidRPr="00C95147">
              <w:t>Follow any additional arrangements made direct with the service manager (individual staff basis)</w:t>
            </w:r>
          </w:p>
        </w:tc>
        <w:tc>
          <w:tcPr>
            <w:tcW w:w="1374" w:type="dxa"/>
          </w:tcPr>
          <w:p w:rsidR="00C84C51" w:rsidRPr="00C95147" w:rsidRDefault="00A00914" w:rsidP="007A1847">
            <w:r>
              <w:t>MAS</w:t>
            </w:r>
            <w:r w:rsidR="00C84C51" w:rsidRPr="00C95147">
              <w:t xml:space="preserve"> staff</w:t>
            </w:r>
          </w:p>
        </w:tc>
      </w:tr>
      <w:tr w:rsidR="00C84C51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C84C51" w:rsidRDefault="00C84C51" w:rsidP="00E40A10">
            <w:pPr>
              <w:jc w:val="left"/>
            </w:pPr>
            <w:r>
              <w:t>3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C84C51" w:rsidRPr="00C95147" w:rsidRDefault="00C84C51" w:rsidP="007A1847">
            <w:r w:rsidRPr="00C95147">
              <w:t xml:space="preserve">Airborne transmission </w:t>
            </w:r>
            <w:r w:rsidRPr="00C95147">
              <w:lastRenderedPageBreak/>
              <w:t>(vulnerable pupils)</w:t>
            </w:r>
          </w:p>
        </w:tc>
        <w:tc>
          <w:tcPr>
            <w:tcW w:w="1559" w:type="dxa"/>
          </w:tcPr>
          <w:p w:rsidR="00C84C51" w:rsidRPr="00C95147" w:rsidRDefault="00C84C51" w:rsidP="007A1847">
            <w:r w:rsidRPr="00C95147">
              <w:lastRenderedPageBreak/>
              <w:t>Pupil or pupils</w:t>
            </w:r>
          </w:p>
        </w:tc>
        <w:tc>
          <w:tcPr>
            <w:tcW w:w="3394" w:type="dxa"/>
          </w:tcPr>
          <w:p w:rsidR="00C84C51" w:rsidRPr="00C95147" w:rsidRDefault="00A464E2" w:rsidP="007A1847">
            <w:r>
              <w:t xml:space="preserve">Follow </w:t>
            </w:r>
            <w:r w:rsidRPr="00C82D13">
              <w:t xml:space="preserve">additional risk assessment </w:t>
            </w:r>
            <w:r w:rsidRPr="00C82D13">
              <w:lastRenderedPageBreak/>
              <w:t>advice provided by school.  Initial conversation in school to identify any higher risk children and what PPE and additional risk assessments are associated.</w:t>
            </w:r>
          </w:p>
        </w:tc>
        <w:tc>
          <w:tcPr>
            <w:tcW w:w="1374" w:type="dxa"/>
          </w:tcPr>
          <w:p w:rsidR="00C84C51" w:rsidRDefault="00A00914" w:rsidP="007A1847">
            <w:r>
              <w:lastRenderedPageBreak/>
              <w:t>MAS</w:t>
            </w:r>
            <w:r w:rsidR="00C84C51" w:rsidRPr="00C95147">
              <w:t xml:space="preserve"> staff</w:t>
            </w:r>
          </w:p>
        </w:tc>
      </w:tr>
      <w:tr w:rsidR="00F26BA8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lastRenderedPageBreak/>
              <w:t>4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 w:rsidRPr="00B626A8">
              <w:rPr>
                <w:rFonts w:cs="Arial"/>
              </w:rPr>
              <w:t xml:space="preserve">A child </w:t>
            </w:r>
            <w:r>
              <w:rPr>
                <w:rFonts w:cs="Arial"/>
              </w:rPr>
              <w:t>develops</w:t>
            </w:r>
            <w:r w:rsidRPr="00B626A8">
              <w:rPr>
                <w:rFonts w:cs="Arial"/>
              </w:rPr>
              <w:t xml:space="preserve"> symptoms of COVID</w:t>
            </w:r>
            <w:r>
              <w:rPr>
                <w:rFonts w:cs="Arial"/>
              </w:rPr>
              <w:t>-</w:t>
            </w:r>
            <w:r w:rsidRPr="00B626A8">
              <w:rPr>
                <w:rFonts w:cs="Arial"/>
              </w:rPr>
              <w:t>19 during session delivery</w:t>
            </w:r>
            <w:r>
              <w:rPr>
                <w:rFonts w:cs="Arial"/>
              </w:rPr>
              <w:t>, the staff member could be exposed to infection</w:t>
            </w:r>
          </w:p>
        </w:tc>
        <w:tc>
          <w:tcPr>
            <w:tcW w:w="1559" w:type="dxa"/>
          </w:tcPr>
          <w:p w:rsidR="00F26BA8" w:rsidRDefault="00F26BA8" w:rsidP="007724EC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F26BA8" w:rsidRDefault="00F26BA8" w:rsidP="007724EC">
            <w:pPr>
              <w:rPr>
                <w:rFonts w:cs="Arial"/>
              </w:rPr>
            </w:pPr>
            <w:r w:rsidRPr="00B626A8">
              <w:rPr>
                <w:rFonts w:cs="Arial"/>
              </w:rPr>
              <w:t xml:space="preserve">Risk assessment conducted by the school, following government guidelines. </w:t>
            </w:r>
          </w:p>
          <w:p w:rsidR="00E2758C" w:rsidRDefault="00E2758C" w:rsidP="00E2758C">
            <w:pPr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>Staff member will follow the MAS activity risk assessment and ensure face shield is worn.</w:t>
            </w:r>
          </w:p>
          <w:p w:rsidR="00F26BA8" w:rsidRDefault="00F26BA8" w:rsidP="007724EC">
            <w:pPr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 w:rsidRPr="00B626A8">
              <w:rPr>
                <w:rFonts w:cs="Arial"/>
              </w:rPr>
              <w:t xml:space="preserve">Staff member will alert school staff as per risk assessment </w:t>
            </w:r>
          </w:p>
          <w:p w:rsidR="00F26BA8" w:rsidRDefault="00F26BA8" w:rsidP="007724EC">
            <w:pPr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Social distancing will have been observed where possible </w:t>
            </w:r>
          </w:p>
          <w:p w:rsidR="00F26B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>Child will be isolated from group if symptomatic</w:t>
            </w:r>
          </w:p>
          <w:p w:rsidR="00F26BA8" w:rsidRPr="00B626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 w:rsidRPr="00B626A8">
              <w:rPr>
                <w:rFonts w:cs="Arial"/>
              </w:rPr>
              <w:t>Child will be sent for testing</w:t>
            </w:r>
            <w:r>
              <w:rPr>
                <w:rFonts w:cs="Arial"/>
              </w:rPr>
              <w:t xml:space="preserve"> by school</w:t>
            </w:r>
          </w:p>
          <w:p w:rsidR="00F26B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 w:rsidRPr="00B626A8">
              <w:rPr>
                <w:rFonts w:cs="Arial"/>
              </w:rPr>
              <w:t>Staff member will be informed of outcome of test</w:t>
            </w:r>
          </w:p>
          <w:p w:rsidR="00F26BA8" w:rsidRPr="000248A8" w:rsidRDefault="00F26BA8" w:rsidP="007724EC">
            <w:pPr>
              <w:widowControl w:val="0"/>
              <w:numPr>
                <w:ilvl w:val="0"/>
                <w:numId w:val="2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>Staff member will isolate if child is positive and access COVID-19 testing</w:t>
            </w: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to ensure timetable up to date and records all contacts with schools via </w:t>
            </w:r>
            <w:proofErr w:type="spellStart"/>
            <w:r>
              <w:rPr>
                <w:rFonts w:cs="Arial"/>
              </w:rPr>
              <w:t>Paritor</w:t>
            </w:r>
            <w:proofErr w:type="spellEnd"/>
            <w:r>
              <w:rPr>
                <w:rFonts w:cs="Arial"/>
              </w:rPr>
              <w:t xml:space="preserve"> on a daily basis.  Where a child tests positive the staff member will isolate for 14 days from the date of contact and be referred for a </w:t>
            </w:r>
            <w:proofErr w:type="gramStart"/>
            <w:r>
              <w:rPr>
                <w:rFonts w:cs="Arial"/>
              </w:rPr>
              <w:t>test .</w:t>
            </w:r>
            <w:proofErr w:type="gramEnd"/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If the staff member subsequently tests positive, all contacts will be informed by manager</w:t>
            </w:r>
          </w:p>
          <w:p w:rsidR="00F26BA8" w:rsidRDefault="00F26BA8" w:rsidP="007724EC">
            <w:pPr>
              <w:jc w:val="left"/>
            </w:pPr>
          </w:p>
        </w:tc>
        <w:tc>
          <w:tcPr>
            <w:tcW w:w="1374" w:type="dxa"/>
          </w:tcPr>
          <w:p w:rsidR="00F26BA8" w:rsidRPr="00A965E9" w:rsidRDefault="00F26BA8" w:rsidP="007724EC">
            <w:pPr>
              <w:jc w:val="left"/>
            </w:pPr>
            <w:r>
              <w:t>MAS Staff</w:t>
            </w:r>
          </w:p>
        </w:tc>
      </w:tr>
      <w:tr w:rsidR="00F26BA8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t>5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Pr="00B626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A child develops symptoms of COVID-19 within 14 days of a staff member delivering a session within school, the staff member could have been exposed to infection</w:t>
            </w:r>
          </w:p>
          <w:p w:rsidR="00F26BA8" w:rsidRPr="00B626A8" w:rsidRDefault="00F26BA8" w:rsidP="007724EC">
            <w:pPr>
              <w:jc w:val="left"/>
              <w:rPr>
                <w:rFonts w:cs="Arial"/>
              </w:rPr>
            </w:pPr>
          </w:p>
        </w:tc>
        <w:tc>
          <w:tcPr>
            <w:tcW w:w="1559" w:type="dxa"/>
          </w:tcPr>
          <w:p w:rsidR="00F26BA8" w:rsidRDefault="00F26BA8" w:rsidP="007724EC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F26BA8" w:rsidRDefault="00F26BA8" w:rsidP="007724EC">
            <w:pPr>
              <w:rPr>
                <w:rFonts w:cs="Arial"/>
              </w:rPr>
            </w:pPr>
            <w:r w:rsidRPr="00B626A8">
              <w:rPr>
                <w:rFonts w:cs="Arial"/>
              </w:rPr>
              <w:t xml:space="preserve">Risk assessment conducted by the school, following government guidelines. </w:t>
            </w:r>
          </w:p>
          <w:p w:rsidR="00E2758C" w:rsidRDefault="00E2758C" w:rsidP="00E2758C">
            <w:pPr>
              <w:numPr>
                <w:ilvl w:val="0"/>
                <w:numId w:val="3"/>
              </w:numPr>
              <w:suppressAutoHyphens/>
              <w:jc w:val="left"/>
              <w:rPr>
                <w:rFonts w:cs="Arial"/>
              </w:rPr>
            </w:pPr>
            <w:r>
              <w:rPr>
                <w:rFonts w:cs="Arial"/>
              </w:rPr>
              <w:t>Staff member will follow the MAS activity risk assessment and ensure face shield is worn.</w:t>
            </w:r>
          </w:p>
          <w:p w:rsidR="00F26BA8" w:rsidRDefault="00F26BA8" w:rsidP="00E2758C">
            <w:pPr>
              <w:numPr>
                <w:ilvl w:val="0"/>
                <w:numId w:val="3"/>
              </w:numPr>
              <w:suppressAutoHyphens/>
              <w:jc w:val="lef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School will alert staff member by telephone and follow up email to staff member and identified manager </w:t>
            </w:r>
          </w:p>
          <w:p w:rsidR="00F26BA8" w:rsidRDefault="00F26BA8" w:rsidP="007724EC">
            <w:pPr>
              <w:rPr>
                <w:rFonts w:cs="Arial"/>
              </w:rPr>
            </w:pP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to ensure timetable up to date and records all contacts with schools via </w:t>
            </w:r>
            <w:proofErr w:type="spellStart"/>
            <w:r>
              <w:rPr>
                <w:rFonts w:cs="Arial"/>
              </w:rPr>
              <w:t>Paritor</w:t>
            </w:r>
            <w:proofErr w:type="spellEnd"/>
            <w:r>
              <w:rPr>
                <w:rFonts w:cs="Arial"/>
              </w:rPr>
              <w:t xml:space="preserve"> on a daily basis.</w:t>
            </w: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Where a child tests positive the staff member will isolate for 14 days from the date of contact and be referred for a test</w:t>
            </w:r>
          </w:p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>If the staff member subsequently tests positive, all contacts will be informed by manager</w:t>
            </w:r>
          </w:p>
          <w:p w:rsidR="00F26BA8" w:rsidRPr="00B626A8" w:rsidRDefault="00F26BA8" w:rsidP="007724EC">
            <w:pPr>
              <w:rPr>
                <w:rFonts w:cs="Arial"/>
              </w:rPr>
            </w:pPr>
          </w:p>
        </w:tc>
        <w:tc>
          <w:tcPr>
            <w:tcW w:w="1374" w:type="dxa"/>
          </w:tcPr>
          <w:p w:rsidR="00F26BA8" w:rsidRPr="00A965E9" w:rsidRDefault="00F26BA8" w:rsidP="007724EC">
            <w:pPr>
              <w:jc w:val="left"/>
            </w:pPr>
            <w:r>
              <w:lastRenderedPageBreak/>
              <w:t>MAS Staff</w:t>
            </w:r>
          </w:p>
        </w:tc>
      </w:tr>
      <w:tr w:rsidR="00F26BA8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:rsidR="00F26BA8" w:rsidRDefault="00F26BA8" w:rsidP="007724EC">
            <w:pPr>
              <w:jc w:val="left"/>
            </w:pPr>
            <w:r>
              <w:lastRenderedPageBreak/>
              <w:t>6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:rsidR="00F26BA8" w:rsidRDefault="00F26BA8" w:rsidP="007724EC">
            <w:pPr>
              <w:rPr>
                <w:rFonts w:cs="Arial"/>
              </w:rPr>
            </w:pPr>
            <w:r>
              <w:rPr>
                <w:rFonts w:cs="Arial"/>
              </w:rPr>
              <w:t xml:space="preserve">The staff member develops symptoms of COVID-19 during a session  </w:t>
            </w:r>
          </w:p>
        </w:tc>
        <w:tc>
          <w:tcPr>
            <w:tcW w:w="1559" w:type="dxa"/>
          </w:tcPr>
          <w:p w:rsidR="00F26BA8" w:rsidRDefault="00F26BA8" w:rsidP="007724EC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:rsidR="00F26BA8" w:rsidRPr="000248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Staff to remain at home if displaying one of the following symptoms:</w:t>
            </w:r>
          </w:p>
          <w:p w:rsidR="00F26BA8" w:rsidRPr="000248A8" w:rsidRDefault="00F26BA8" w:rsidP="007724EC">
            <w:pPr>
              <w:jc w:val="left"/>
              <w:rPr>
                <w:rFonts w:cs="Arial"/>
                <w:b/>
              </w:rPr>
            </w:pPr>
            <w:r w:rsidRPr="000248A8">
              <w:rPr>
                <w:rFonts w:cs="Arial"/>
              </w:rPr>
              <w:t>•</w:t>
            </w:r>
            <w:r w:rsidRPr="000248A8">
              <w:rPr>
                <w:rFonts w:cs="Arial"/>
              </w:rPr>
              <w:tab/>
            </w:r>
            <w:r w:rsidRPr="000248A8">
              <w:rPr>
                <w:rFonts w:cs="Arial"/>
                <w:b/>
              </w:rPr>
              <w:t>High temperature</w:t>
            </w:r>
          </w:p>
          <w:p w:rsidR="00F26BA8" w:rsidRPr="000248A8" w:rsidRDefault="00F26BA8" w:rsidP="007724EC">
            <w:pPr>
              <w:jc w:val="left"/>
              <w:rPr>
                <w:rFonts w:cs="Arial"/>
                <w:b/>
              </w:rPr>
            </w:pPr>
            <w:r w:rsidRPr="000248A8">
              <w:rPr>
                <w:rFonts w:cs="Arial"/>
                <w:b/>
              </w:rPr>
              <w:t>•</w:t>
            </w:r>
            <w:r w:rsidRPr="000248A8">
              <w:rPr>
                <w:rFonts w:cs="Arial"/>
                <w:b/>
              </w:rPr>
              <w:tab/>
              <w:t>Persistent cough</w:t>
            </w:r>
          </w:p>
          <w:p w:rsidR="00F26BA8" w:rsidRPr="000248A8" w:rsidRDefault="00F26BA8" w:rsidP="007724EC">
            <w:pPr>
              <w:jc w:val="left"/>
              <w:rPr>
                <w:rFonts w:cs="Arial"/>
                <w:b/>
              </w:rPr>
            </w:pPr>
            <w:r w:rsidRPr="000248A8">
              <w:rPr>
                <w:rFonts w:cs="Arial"/>
                <w:b/>
              </w:rPr>
              <w:t>•</w:t>
            </w:r>
            <w:r w:rsidRPr="000248A8">
              <w:rPr>
                <w:rFonts w:cs="Arial"/>
                <w:b/>
              </w:rPr>
              <w:tab/>
              <w:t>Loss of taste of smell</w:t>
            </w:r>
          </w:p>
          <w:p w:rsidR="00F26BA8" w:rsidRPr="000248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Staff to ensure timetable up to date and records all contacts with schoo</w:t>
            </w:r>
            <w:r>
              <w:rPr>
                <w:rFonts w:cs="Arial"/>
              </w:rPr>
              <w:t xml:space="preserve">ls via </w:t>
            </w:r>
            <w:proofErr w:type="spellStart"/>
            <w:r>
              <w:rPr>
                <w:rFonts w:cs="Arial"/>
              </w:rPr>
              <w:t>Paritor</w:t>
            </w:r>
            <w:proofErr w:type="spellEnd"/>
            <w:r>
              <w:rPr>
                <w:rFonts w:cs="Arial"/>
              </w:rPr>
              <w:t xml:space="preserve"> on a daily basis</w:t>
            </w:r>
          </w:p>
          <w:p w:rsidR="00F26BA8" w:rsidRPr="000248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If symptoms develop during a session the staff member must leave the site immediately, informing an identif</w:t>
            </w:r>
            <w:r>
              <w:rPr>
                <w:rFonts w:cs="Arial"/>
              </w:rPr>
              <w:t>ied member of staff and manager</w:t>
            </w:r>
          </w:p>
          <w:p w:rsidR="00F26BA8" w:rsidRDefault="00F26BA8" w:rsidP="007724EC">
            <w:pPr>
              <w:jc w:val="left"/>
              <w:rPr>
                <w:rFonts w:cs="Arial"/>
              </w:rPr>
            </w:pPr>
            <w:r w:rsidRPr="000248A8">
              <w:rPr>
                <w:rFonts w:cs="Arial"/>
              </w:rPr>
              <w:t>The staff member must obtain a test and report the results to their manager and the identified senior member of staff in school</w:t>
            </w:r>
          </w:p>
          <w:p w:rsidR="00F26BA8" w:rsidRPr="00B626A8" w:rsidRDefault="00F26BA8" w:rsidP="007724E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If the staff member test positive for COVID-19, children who have been in contact will be requested to isolate for 14 days</w:t>
            </w:r>
          </w:p>
        </w:tc>
        <w:tc>
          <w:tcPr>
            <w:tcW w:w="1374" w:type="dxa"/>
          </w:tcPr>
          <w:p w:rsidR="00F26BA8" w:rsidRPr="00A965E9" w:rsidRDefault="00F26BA8" w:rsidP="007724EC">
            <w:pPr>
              <w:jc w:val="left"/>
            </w:pPr>
            <w:r>
              <w:t>MAS Staff</w:t>
            </w:r>
          </w:p>
        </w:tc>
      </w:tr>
    </w:tbl>
    <w:p w:rsidR="00665930" w:rsidRDefault="00F03843" w:rsidP="00665930">
      <w:pPr>
        <w:pStyle w:val="Heading1"/>
      </w:pPr>
      <w:r>
        <w:t xml:space="preserve">Residual </w:t>
      </w:r>
      <w:r w:rsidR="00665930">
        <w:t>Risk rating</w:t>
      </w:r>
    </w:p>
    <w:p w:rsidR="00665930" w:rsidRDefault="00665930" w:rsidP="00665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682"/>
        <w:gridCol w:w="982"/>
        <w:gridCol w:w="774"/>
        <w:gridCol w:w="336"/>
        <w:gridCol w:w="390"/>
        <w:gridCol w:w="390"/>
        <w:gridCol w:w="421"/>
        <w:gridCol w:w="421"/>
        <w:gridCol w:w="390"/>
      </w:tblGrid>
      <w:tr w:rsidR="00665930" w:rsidTr="00B11178">
        <w:tc>
          <w:tcPr>
            <w:tcW w:w="3230" w:type="dxa"/>
            <w:vMerge w:val="restart"/>
            <w:tcBorders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  <w:r>
              <w:t>How likely is the activity to result in actual harm (1-5)?</w:t>
            </w:r>
          </w:p>
        </w:tc>
        <w:tc>
          <w:tcPr>
            <w:tcW w:w="1682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F26BA8" w:rsidP="00CF7D8A">
            <w:pPr>
              <w:keepNext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665930" w:rsidRDefault="00665930" w:rsidP="00CF7D8A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  <w:p w:rsidR="00665930" w:rsidRPr="00307118" w:rsidRDefault="00665930" w:rsidP="00CF7D8A">
            <w:pPr>
              <w:keepNext/>
              <w:ind w:left="113" w:right="113"/>
            </w:pPr>
            <w:r w:rsidRPr="00307118">
              <w:t xml:space="preserve">less   </w:t>
            </w:r>
            <w:r>
              <w:t xml:space="preserve">      </w:t>
            </w:r>
            <w:r w:rsidRPr="00307118">
              <w:t xml:space="preserve">   more</w:t>
            </w: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5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4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3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00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  <w:r>
              <w:t>How severe would the consequences be (1-5)?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F26BA8" w:rsidP="00CF7D8A">
            <w:pPr>
              <w:keepNext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2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FFBF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  <w:r>
              <w:t>1</w:t>
            </w: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421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  <w:shd w:val="clear" w:color="auto" w:fill="009900"/>
          </w:tcPr>
          <w:p w:rsidR="00665930" w:rsidRDefault="00665930" w:rsidP="00CF7D8A">
            <w:pPr>
              <w:keepNext/>
            </w:pPr>
          </w:p>
        </w:tc>
      </w:tr>
      <w:tr w:rsidR="00665930" w:rsidTr="00B11178">
        <w:tc>
          <w:tcPr>
            <w:tcW w:w="3230" w:type="dxa"/>
            <w:tcBorders>
              <w:top w:val="nil"/>
              <w:right w:val="nil"/>
            </w:tcBorders>
            <w:vAlign w:val="center"/>
          </w:tcPr>
          <w:p w:rsidR="00665930" w:rsidRDefault="00665930" w:rsidP="00CF7D8A">
            <w:pPr>
              <w:keepNext/>
              <w:jc w:val="left"/>
            </w:pPr>
          </w:p>
        </w:tc>
        <w:tc>
          <w:tcPr>
            <w:tcW w:w="16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5930" w:rsidRDefault="00665930" w:rsidP="00CF7D8A">
            <w:pPr>
              <w:keepNext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</w:p>
        </w:tc>
        <w:tc>
          <w:tcPr>
            <w:tcW w:w="390" w:type="dxa"/>
          </w:tcPr>
          <w:p w:rsidR="00665930" w:rsidRDefault="00665930" w:rsidP="00CF7D8A">
            <w:pPr>
              <w:keepNext/>
            </w:pPr>
            <w:r>
              <w:t>1</w:t>
            </w:r>
          </w:p>
        </w:tc>
        <w:tc>
          <w:tcPr>
            <w:tcW w:w="390" w:type="dxa"/>
          </w:tcPr>
          <w:p w:rsidR="00665930" w:rsidRDefault="00665930" w:rsidP="00CF7D8A">
            <w:pPr>
              <w:keepNext/>
            </w:pPr>
            <w:r>
              <w:t>2</w:t>
            </w:r>
          </w:p>
        </w:tc>
        <w:tc>
          <w:tcPr>
            <w:tcW w:w="421" w:type="dxa"/>
          </w:tcPr>
          <w:p w:rsidR="00665930" w:rsidRDefault="00665930" w:rsidP="00CF7D8A">
            <w:pPr>
              <w:keepNext/>
            </w:pPr>
            <w:r>
              <w:t>3</w:t>
            </w:r>
          </w:p>
        </w:tc>
        <w:tc>
          <w:tcPr>
            <w:tcW w:w="421" w:type="dxa"/>
          </w:tcPr>
          <w:p w:rsidR="00665930" w:rsidRDefault="00665930" w:rsidP="00CF7D8A">
            <w:pPr>
              <w:keepNext/>
            </w:pPr>
            <w:r>
              <w:t>4</w:t>
            </w:r>
          </w:p>
        </w:tc>
        <w:tc>
          <w:tcPr>
            <w:tcW w:w="390" w:type="dxa"/>
          </w:tcPr>
          <w:p w:rsidR="00665930" w:rsidRDefault="00665930" w:rsidP="00CF7D8A">
            <w:pPr>
              <w:keepNext/>
            </w:pPr>
            <w:r>
              <w:t>5</w:t>
            </w:r>
          </w:p>
        </w:tc>
      </w:tr>
      <w:tr w:rsidR="00665930" w:rsidTr="00E367A0">
        <w:trPr>
          <w:trHeight w:val="319"/>
        </w:trPr>
        <w:tc>
          <w:tcPr>
            <w:tcW w:w="3230" w:type="dxa"/>
            <w:vAlign w:val="center"/>
          </w:tcPr>
          <w:p w:rsidR="00665930" w:rsidRPr="00307118" w:rsidRDefault="00665930" w:rsidP="00CF7D8A">
            <w:pPr>
              <w:keepNext/>
              <w:jc w:val="left"/>
              <w:rPr>
                <w:b/>
              </w:rPr>
            </w:pPr>
            <w:r w:rsidRPr="00307118">
              <w:rPr>
                <w:b/>
              </w:rPr>
              <w:t>Risk rating (likelihood x severity)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665930" w:rsidRPr="00B11178" w:rsidRDefault="00F26BA8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665930" w:rsidRDefault="00665930" w:rsidP="00CF7D8A">
            <w:pPr>
              <w:keepNext/>
            </w:pPr>
          </w:p>
        </w:tc>
        <w:tc>
          <w:tcPr>
            <w:tcW w:w="336" w:type="dxa"/>
          </w:tcPr>
          <w:p w:rsidR="00665930" w:rsidRDefault="00665930" w:rsidP="00CF7D8A">
            <w:pPr>
              <w:keepNext/>
            </w:pPr>
          </w:p>
        </w:tc>
        <w:tc>
          <w:tcPr>
            <w:tcW w:w="2012" w:type="dxa"/>
            <w:gridSpan w:val="5"/>
            <w:vAlign w:val="center"/>
          </w:tcPr>
          <w:p w:rsidR="00665930" w:rsidRPr="00307118" w:rsidRDefault="00665930" w:rsidP="00CF7D8A">
            <w:pPr>
              <w:keepNext/>
              <w:jc w:val="center"/>
            </w:pPr>
            <w:r>
              <w:t>b</w:t>
            </w:r>
            <w:r w:rsidRPr="00307118">
              <w:t xml:space="preserve">etter            </w:t>
            </w:r>
            <w:r>
              <w:t>w</w:t>
            </w:r>
            <w:r w:rsidRPr="00307118">
              <w:t>orse</w:t>
            </w:r>
          </w:p>
          <w:p w:rsidR="00665930" w:rsidRPr="00F2694B" w:rsidRDefault="00665930" w:rsidP="00CF7D8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</w:tbl>
    <w:p w:rsidR="00C33B03" w:rsidRDefault="00C33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5760"/>
      </w:tblGrid>
      <w:tr w:rsidR="00F03843" w:rsidTr="00C4186A">
        <w:trPr>
          <w:cantSplit/>
        </w:trPr>
        <w:tc>
          <w:tcPr>
            <w:tcW w:w="1413" w:type="dxa"/>
            <w:tcBorders>
              <w:bottom w:val="nil"/>
            </w:tcBorders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lastRenderedPageBreak/>
              <w:t>Risk rating:</w:t>
            </w:r>
          </w:p>
        </w:tc>
        <w:tc>
          <w:tcPr>
            <w:tcW w:w="850" w:type="dxa"/>
            <w:shd w:val="clear" w:color="auto" w:fill="009900"/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1-6</w:t>
            </w:r>
          </w:p>
        </w:tc>
        <w:tc>
          <w:tcPr>
            <w:tcW w:w="993" w:type="dxa"/>
            <w:shd w:val="clear" w:color="auto" w:fill="009900"/>
          </w:tcPr>
          <w:p w:rsidR="00F03843" w:rsidRDefault="00F03843" w:rsidP="00C4186A">
            <w:pPr>
              <w:keepNext/>
            </w:pPr>
            <w:r>
              <w:t>Green</w:t>
            </w:r>
          </w:p>
        </w:tc>
        <w:tc>
          <w:tcPr>
            <w:tcW w:w="5760" w:type="dxa"/>
          </w:tcPr>
          <w:p w:rsidR="00F03843" w:rsidRDefault="00F03843" w:rsidP="00C4186A">
            <w:pPr>
              <w:keepNext/>
            </w:pPr>
            <w:r>
              <w:t>Monitor to ensure control measures are implemented consistently and that the rating remains valid.</w:t>
            </w:r>
          </w:p>
        </w:tc>
      </w:tr>
      <w:tr w:rsidR="00F03843" w:rsidTr="00C4186A">
        <w:trPr>
          <w:cantSplit/>
        </w:trPr>
        <w:tc>
          <w:tcPr>
            <w:tcW w:w="1413" w:type="dxa"/>
            <w:tcBorders>
              <w:top w:val="nil"/>
              <w:bottom w:val="nil"/>
            </w:tcBorders>
          </w:tcPr>
          <w:p w:rsidR="00F03843" w:rsidRDefault="00F03843" w:rsidP="00C4186A">
            <w:pPr>
              <w:keepNext/>
            </w:pPr>
          </w:p>
        </w:tc>
        <w:tc>
          <w:tcPr>
            <w:tcW w:w="850" w:type="dxa"/>
            <w:shd w:val="clear" w:color="auto" w:fill="FFBF00"/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8-12</w:t>
            </w:r>
          </w:p>
        </w:tc>
        <w:tc>
          <w:tcPr>
            <w:tcW w:w="993" w:type="dxa"/>
            <w:shd w:val="clear" w:color="auto" w:fill="FFBF00"/>
          </w:tcPr>
          <w:p w:rsidR="00F03843" w:rsidRDefault="00F03843" w:rsidP="00C4186A">
            <w:pPr>
              <w:keepNext/>
            </w:pPr>
            <w:r>
              <w:t>Amber</w:t>
            </w:r>
          </w:p>
        </w:tc>
        <w:tc>
          <w:tcPr>
            <w:tcW w:w="5760" w:type="dxa"/>
          </w:tcPr>
          <w:p w:rsidR="00F03843" w:rsidRDefault="00F03843" w:rsidP="00C4186A">
            <w:pPr>
              <w:keepNext/>
            </w:pPr>
            <w:r>
              <w:t>Try to identify additional controls to reduce the risk.  Ensure that control measures are implemented consistently and look to improve by the next review.</w:t>
            </w:r>
          </w:p>
        </w:tc>
      </w:tr>
      <w:tr w:rsidR="00F03843" w:rsidTr="00C4186A">
        <w:trPr>
          <w:cantSplit/>
        </w:trPr>
        <w:tc>
          <w:tcPr>
            <w:tcW w:w="1413" w:type="dxa"/>
            <w:tcBorders>
              <w:top w:val="nil"/>
            </w:tcBorders>
          </w:tcPr>
          <w:p w:rsidR="00F03843" w:rsidRDefault="00F03843" w:rsidP="00C4186A">
            <w:pPr>
              <w:keepNext/>
            </w:pPr>
          </w:p>
        </w:tc>
        <w:tc>
          <w:tcPr>
            <w:tcW w:w="850" w:type="dxa"/>
            <w:shd w:val="clear" w:color="auto" w:fill="FF0000"/>
          </w:tcPr>
          <w:p w:rsidR="00F03843" w:rsidRPr="00665930" w:rsidRDefault="00F03843" w:rsidP="00C4186A">
            <w:pPr>
              <w:keepNext/>
              <w:rPr>
                <w:b/>
              </w:rPr>
            </w:pPr>
            <w:r w:rsidRPr="00665930">
              <w:rPr>
                <w:b/>
              </w:rPr>
              <w:t>15</w:t>
            </w:r>
            <w:r w:rsidR="00B11178">
              <w:rPr>
                <w:b/>
              </w:rPr>
              <w:t>-25</w:t>
            </w:r>
          </w:p>
        </w:tc>
        <w:tc>
          <w:tcPr>
            <w:tcW w:w="993" w:type="dxa"/>
            <w:shd w:val="clear" w:color="auto" w:fill="FF0000"/>
          </w:tcPr>
          <w:p w:rsidR="00F03843" w:rsidRDefault="00F03843" w:rsidP="00C4186A">
            <w:pPr>
              <w:keepNext/>
            </w:pPr>
            <w:r>
              <w:t>Red</w:t>
            </w:r>
          </w:p>
        </w:tc>
        <w:tc>
          <w:tcPr>
            <w:tcW w:w="5760" w:type="dxa"/>
          </w:tcPr>
          <w:p w:rsidR="00F03843" w:rsidRDefault="00F03843" w:rsidP="00C4186A">
            <w:pPr>
              <w:keepNext/>
            </w:pPr>
            <w:r>
              <w:t xml:space="preserve">Cease this activity until additional controls can be put in place to </w:t>
            </w:r>
            <w:r w:rsidR="00B11178">
              <w:t>manage</w:t>
            </w:r>
            <w:r>
              <w:t xml:space="preserve"> the risk.</w:t>
            </w:r>
          </w:p>
        </w:tc>
      </w:tr>
    </w:tbl>
    <w:p w:rsidR="00F03843" w:rsidRDefault="00F038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083"/>
        <w:gridCol w:w="983"/>
        <w:gridCol w:w="1021"/>
        <w:gridCol w:w="3043"/>
        <w:gridCol w:w="10"/>
      </w:tblGrid>
      <w:tr w:rsidR="00E709CC" w:rsidTr="00E709CC">
        <w:trPr>
          <w:gridAfter w:val="1"/>
          <w:wAfter w:w="10" w:type="dxa"/>
        </w:trPr>
        <w:tc>
          <w:tcPr>
            <w:tcW w:w="3969" w:type="dxa"/>
            <w:gridSpan w:val="2"/>
          </w:tcPr>
          <w:p w:rsidR="00E709CC" w:rsidRPr="00E709CC" w:rsidRDefault="00E709CC">
            <w:pPr>
              <w:rPr>
                <w:b/>
              </w:rPr>
            </w:pPr>
            <w:r w:rsidRPr="00E709CC">
              <w:rPr>
                <w:b/>
              </w:rPr>
              <w:t>Date communicated to staff/volunteers:</w:t>
            </w: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</w:tcPr>
          <w:p w:rsidR="00E709CC" w:rsidRDefault="00E709CC"/>
        </w:tc>
      </w:tr>
      <w:tr w:rsidR="00F03843" w:rsidTr="00AC4C5D">
        <w:tc>
          <w:tcPr>
            <w:tcW w:w="886" w:type="dxa"/>
          </w:tcPr>
          <w:p w:rsidR="00F03843" w:rsidRPr="00E709CC" w:rsidRDefault="00F03843">
            <w:pPr>
              <w:rPr>
                <w:b/>
              </w:rPr>
            </w:pPr>
          </w:p>
          <w:p w:rsidR="00F03843" w:rsidRPr="00E709CC" w:rsidRDefault="00F03843">
            <w:pPr>
              <w:rPr>
                <w:b/>
              </w:rPr>
            </w:pPr>
          </w:p>
          <w:p w:rsidR="00F03843" w:rsidRPr="00E709CC" w:rsidRDefault="00F03843">
            <w:pPr>
              <w:rPr>
                <w:b/>
              </w:rPr>
            </w:pPr>
            <w:r w:rsidRPr="00E709CC">
              <w:rPr>
                <w:b/>
              </w:rPr>
              <w:t>Signed: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</w:tcPr>
          <w:p w:rsidR="00F03843" w:rsidRDefault="00F03843"/>
        </w:tc>
        <w:tc>
          <w:tcPr>
            <w:tcW w:w="1021" w:type="dxa"/>
          </w:tcPr>
          <w:p w:rsidR="00F03843" w:rsidRPr="00E709CC" w:rsidRDefault="00F03843" w:rsidP="00F03843">
            <w:pPr>
              <w:jc w:val="right"/>
              <w:rPr>
                <w:b/>
              </w:rPr>
            </w:pPr>
          </w:p>
          <w:p w:rsidR="00F03843" w:rsidRPr="00E709CC" w:rsidRDefault="00F03843" w:rsidP="00F03843">
            <w:pPr>
              <w:jc w:val="right"/>
              <w:rPr>
                <w:b/>
              </w:rPr>
            </w:pPr>
          </w:p>
          <w:p w:rsidR="00F03843" w:rsidRDefault="00F03843" w:rsidP="00F03843">
            <w:pPr>
              <w:jc w:val="right"/>
            </w:pPr>
            <w:r w:rsidRPr="00E709CC">
              <w:rPr>
                <w:b/>
              </w:rPr>
              <w:t>Date: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F03843" w:rsidRDefault="00F03843"/>
        </w:tc>
      </w:tr>
      <w:tr w:rsidR="00F03843" w:rsidTr="00AC4C5D">
        <w:tc>
          <w:tcPr>
            <w:tcW w:w="886" w:type="dxa"/>
          </w:tcPr>
          <w:p w:rsidR="00F03843" w:rsidRPr="00E709CC" w:rsidRDefault="00F03843">
            <w:pPr>
              <w:rPr>
                <w:b/>
              </w:rPr>
            </w:pPr>
          </w:p>
          <w:p w:rsidR="00F03843" w:rsidRDefault="00F03843">
            <w:r w:rsidRPr="00E709CC">
              <w:rPr>
                <w:b/>
              </w:rPr>
              <w:t>Name: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843" w:rsidRDefault="00F03843"/>
        </w:tc>
        <w:tc>
          <w:tcPr>
            <w:tcW w:w="1021" w:type="dxa"/>
          </w:tcPr>
          <w:p w:rsidR="00F03843" w:rsidRPr="00E709CC" w:rsidRDefault="00F03843">
            <w:pPr>
              <w:rPr>
                <w:b/>
              </w:rPr>
            </w:pPr>
          </w:p>
          <w:p w:rsidR="00F03843" w:rsidRDefault="00F03843" w:rsidP="00F03843">
            <w:pPr>
              <w:jc w:val="right"/>
            </w:pPr>
            <w:r w:rsidRPr="00E709CC">
              <w:rPr>
                <w:b/>
              </w:rPr>
              <w:t>Position: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843" w:rsidRDefault="00F03843"/>
        </w:tc>
      </w:tr>
    </w:tbl>
    <w:p w:rsidR="00E709CC" w:rsidRDefault="00E709CC" w:rsidP="00E709CC">
      <w:pPr>
        <w:pStyle w:val="Heading1"/>
      </w:pPr>
      <w:r>
        <w:t>Remember:</w:t>
      </w:r>
    </w:p>
    <w:p w:rsidR="00E709CC" w:rsidRDefault="00E709CC" w:rsidP="004C38E8">
      <w:pPr>
        <w:pStyle w:val="GGBullet"/>
        <w:ind w:left="360"/>
      </w:pPr>
      <w:r>
        <w:t>This is a legal document: you must do (or ensure that people working for you do) what you say in it.</w:t>
      </w:r>
    </w:p>
    <w:p w:rsidR="00E709CC" w:rsidRDefault="00E709CC" w:rsidP="004C38E8">
      <w:pPr>
        <w:pStyle w:val="GGBullet"/>
        <w:ind w:left="360"/>
      </w:pPr>
      <w:r>
        <w:t xml:space="preserve">Risk assessments must </w:t>
      </w:r>
      <w:r w:rsidR="00150FE5">
        <w:t>be reviewed at least annually or when there is an incident, i.e.  in this case, if someone falls ill after takin</w:t>
      </w:r>
      <w:r w:rsidR="00B11178">
        <w:t>g</w:t>
      </w:r>
      <w:r w:rsidR="00150FE5">
        <w:t xml:space="preserve"> part in the activity.</w:t>
      </w:r>
    </w:p>
    <w:p w:rsidR="00E709CC" w:rsidRDefault="00B11178" w:rsidP="00E40A10">
      <w:pPr>
        <w:pStyle w:val="GGBullet"/>
        <w:ind w:left="360"/>
      </w:pPr>
      <w:r>
        <w:t>For the purposes of</w:t>
      </w:r>
      <w:r w:rsidR="004C38E8">
        <w:t xml:space="preserve"> Health &amp; Safety, if you have not recorded it, you have not done it.</w:t>
      </w:r>
    </w:p>
    <w:sectPr w:rsidR="00E7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0" w:rsidRDefault="007635B0" w:rsidP="0058133B">
      <w:r>
        <w:separator/>
      </w:r>
    </w:p>
  </w:endnote>
  <w:endnote w:type="continuationSeparator" w:id="0">
    <w:p w:rsidR="007635B0" w:rsidRDefault="007635B0" w:rsidP="005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0" w:rsidRDefault="007635B0" w:rsidP="0058133B">
      <w:r>
        <w:separator/>
      </w:r>
    </w:p>
  </w:footnote>
  <w:footnote w:type="continuationSeparator" w:id="0">
    <w:p w:rsidR="007635B0" w:rsidRDefault="007635B0" w:rsidP="0058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7EE"/>
    <w:multiLevelType w:val="hybridMultilevel"/>
    <w:tmpl w:val="3320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BF4"/>
    <w:multiLevelType w:val="hybridMultilevel"/>
    <w:tmpl w:val="6440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3BB3"/>
    <w:multiLevelType w:val="hybridMultilevel"/>
    <w:tmpl w:val="F6E2F80A"/>
    <w:lvl w:ilvl="0" w:tplc="6AD611C4">
      <w:start w:val="1"/>
      <w:numFmt w:val="bullet"/>
      <w:pStyle w:val="GG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F"/>
    <w:rsid w:val="000447D4"/>
    <w:rsid w:val="000F0D03"/>
    <w:rsid w:val="00111501"/>
    <w:rsid w:val="00122D14"/>
    <w:rsid w:val="001311F8"/>
    <w:rsid w:val="00150FE5"/>
    <w:rsid w:val="00174692"/>
    <w:rsid w:val="0023757E"/>
    <w:rsid w:val="002462C3"/>
    <w:rsid w:val="002645FF"/>
    <w:rsid w:val="00283340"/>
    <w:rsid w:val="002970D8"/>
    <w:rsid w:val="00304342"/>
    <w:rsid w:val="00307118"/>
    <w:rsid w:val="003248BB"/>
    <w:rsid w:val="004453F1"/>
    <w:rsid w:val="004C38E8"/>
    <w:rsid w:val="005416F1"/>
    <w:rsid w:val="0058133B"/>
    <w:rsid w:val="00591923"/>
    <w:rsid w:val="005E3425"/>
    <w:rsid w:val="00614D54"/>
    <w:rsid w:val="0065666E"/>
    <w:rsid w:val="00665930"/>
    <w:rsid w:val="006C7D41"/>
    <w:rsid w:val="006F39DD"/>
    <w:rsid w:val="00715F86"/>
    <w:rsid w:val="007635B0"/>
    <w:rsid w:val="007C684F"/>
    <w:rsid w:val="007E2176"/>
    <w:rsid w:val="00852DFB"/>
    <w:rsid w:val="008F4A3D"/>
    <w:rsid w:val="00986D27"/>
    <w:rsid w:val="009E1AC7"/>
    <w:rsid w:val="00A00914"/>
    <w:rsid w:val="00A464E2"/>
    <w:rsid w:val="00A7381A"/>
    <w:rsid w:val="00AC4C5D"/>
    <w:rsid w:val="00B11178"/>
    <w:rsid w:val="00BB1F7C"/>
    <w:rsid w:val="00BB2896"/>
    <w:rsid w:val="00C33B03"/>
    <w:rsid w:val="00C4186A"/>
    <w:rsid w:val="00C84C51"/>
    <w:rsid w:val="00CC2D1D"/>
    <w:rsid w:val="00CF7D8A"/>
    <w:rsid w:val="00E2758C"/>
    <w:rsid w:val="00E32D3C"/>
    <w:rsid w:val="00E36FE3"/>
    <w:rsid w:val="00E40A10"/>
    <w:rsid w:val="00E56382"/>
    <w:rsid w:val="00E709CC"/>
    <w:rsid w:val="00E97D73"/>
    <w:rsid w:val="00F03843"/>
    <w:rsid w:val="00F2694B"/>
    <w:rsid w:val="00F26BA8"/>
    <w:rsid w:val="00F30AE7"/>
    <w:rsid w:val="00F80F76"/>
    <w:rsid w:val="00F84D9F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2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ullet">
    <w:name w:val="GG Bullet"/>
    <w:qFormat/>
    <w:rsid w:val="00111501"/>
    <w:pPr>
      <w:numPr>
        <w:numId w:val="1"/>
      </w:numPr>
      <w:spacing w:after="0" w:line="240" w:lineRule="auto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36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FE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3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8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8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2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ullet">
    <w:name w:val="GG Bullet"/>
    <w:qFormat/>
    <w:rsid w:val="00111501"/>
    <w:pPr>
      <w:numPr>
        <w:numId w:val="1"/>
      </w:numPr>
      <w:spacing w:after="0" w:line="240" w:lineRule="auto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36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FE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3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8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8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usicmark.org.uk/wp-content/uploads/Guidance-for-Provider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usicmark.org.uk/wp-content/uploads/Guidance-for-Provide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dfordmusiconlin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g\Documents\Custom%20Office%20Templates\MM%20Covid%20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D062-E7D1-4547-A9AC-42DEEBBF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Covid RA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Griffiths</dc:creator>
  <cp:lastModifiedBy>Carl White</cp:lastModifiedBy>
  <cp:revision>3</cp:revision>
  <dcterms:created xsi:type="dcterms:W3CDTF">2020-09-01T13:31:00Z</dcterms:created>
  <dcterms:modified xsi:type="dcterms:W3CDTF">2020-10-08T08:21:00Z</dcterms:modified>
</cp:coreProperties>
</file>